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both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both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highlight w:val="white"/>
          <w:rtl w:val="0"/>
        </w:rPr>
        <w:t xml:space="preserve">Planificación 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9"/>
        <w:gridCol w:w="2232"/>
        <w:gridCol w:w="2164"/>
        <w:gridCol w:w="2164"/>
        <w:gridCol w:w="2164"/>
        <w:tblGridChange w:id="0">
          <w:tblGrid>
            <w:gridCol w:w="2159"/>
            <w:gridCol w:w="2232"/>
            <w:gridCol w:w="2164"/>
            <w:gridCol w:w="2164"/>
            <w:gridCol w:w="2164"/>
          </w:tblGrid>
        </w:tblGridChange>
      </w:tblGrid>
      <w:tr>
        <w:trPr>
          <w:cantSplit w:val="0"/>
          <w:trHeight w:val="761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0" w:hanging="2"/>
              <w:jc w:val="center"/>
              <w:rPr>
                <w:rFonts w:ascii="Calibri" w:cs="Calibri" w:eastAsia="Calibri" w:hAnsi="Calibri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Fecha/Horario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07/05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14/05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21/05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28/05</w:t>
            </w:r>
          </w:p>
        </w:tc>
      </w:tr>
      <w:tr>
        <w:trPr>
          <w:cantSplit w:val="0"/>
          <w:trHeight w:val="68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Calibri" w:cs="Calibri" w:eastAsia="Calibri" w:hAnsi="Calibri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10h-10:15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 Molinos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 Molinos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 Pza España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1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 Ocimax</w:t>
            </w:r>
          </w:p>
        </w:tc>
      </w:tr>
      <w:tr>
        <w:trPr>
          <w:cantSplit w:val="0"/>
          <w:trHeight w:val="162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libri" w:cs="Calibri" w:eastAsia="Calibri" w:hAnsi="Calibri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10:15h-13h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1ra Sesión de Fotos</w:t>
            </w:r>
          </w:p>
          <w:p w:rsidR="00000000" w:rsidDel="00000000" w:rsidP="00000000" w:rsidRDefault="00000000" w:rsidRPr="00000000" w14:paraId="0000001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(Reconocimiento de la emoción)</w:t>
            </w:r>
          </w:p>
          <w:p w:rsidR="00000000" w:rsidDel="00000000" w:rsidP="00000000" w:rsidRDefault="00000000" w:rsidRPr="00000000" w14:paraId="0000001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Casal Santa Catalina</w:t>
            </w:r>
          </w:p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(Proyecto Educativo)</w:t>
            </w:r>
          </w:p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2da Sesión de Fotos</w:t>
            </w:r>
          </w:p>
          <w:p w:rsidR="00000000" w:rsidDel="00000000" w:rsidP="00000000" w:rsidRDefault="00000000" w:rsidRPr="00000000" w14:paraId="0000001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Selección de Fotos</w:t>
            </w:r>
          </w:p>
          <w:p w:rsidR="00000000" w:rsidDel="00000000" w:rsidP="00000000" w:rsidRDefault="00000000" w:rsidRPr="00000000" w14:paraId="0000002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Casal Santa Catalina</w:t>
            </w:r>
          </w:p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(Proyecto Educativo)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Visita guiada a la UIB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hanging="2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CIne: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Dr.Strange</w:t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Calibri" w:cs="Calibri" w:eastAsia="Calibri" w:hAnsi="Calibri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13h-14h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Retorno a Molinos/Despedida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Retorno a Molinos/Despedida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Retorno a Pza España/Despedida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Despedida en Ocimax</w:t>
            </w:r>
          </w:p>
        </w:tc>
      </w:tr>
    </w:tbl>
    <w:p w:rsidR="00000000" w:rsidDel="00000000" w:rsidP="00000000" w:rsidRDefault="00000000" w:rsidRPr="00000000" w14:paraId="00000030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 recuerda que es conveniente que los usuarios acudan con agua, merienda y la tarjeta de la EMT.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Para el día 21/05 se necesita la tarjeta del TIB, ya que iremos en metro hasta la universidad.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 caso de actividad cancelada, iremos al cine y/o Casal Es Fortí o Santa Catalina a terminar el proyecto educativo.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09" w:top="992" w:left="1843" w:right="1718" w:header="720" w:footer="4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Pacifico">
    <w:embedRegular w:fontKey="{00000000-0000-0000-0000-000000000000}" r:id="rId1" w:subsetted="0"/>
  </w:font>
  <w:font w:name="Noto Sans Symbols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color="c0c0c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808080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color w:val="808080"/>
        <w:sz w:val="18"/>
        <w:szCs w:val="18"/>
        <w:rtl w:val="0"/>
      </w:rPr>
      <w:t xml:space="preserve">C/ Triana, 18 y Mazagán, 15 · 07014 Palma de Mallorca · Tel/Fax. 971 22 01 99 · asociacionamiticia@gmail.com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3076575</wp:posOffset>
          </wp:positionH>
          <wp:positionV relativeFrom="paragraph">
            <wp:posOffset>-161918</wp:posOffset>
          </wp:positionV>
          <wp:extent cx="2368233" cy="770727"/>
          <wp:effectExtent b="0" l="0" r="0" t="0"/>
          <wp:wrapSquare wrapText="bothSides" distB="114300" distT="114300" distL="114300" distR="114300"/>
          <wp:docPr id="10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8233" cy="7707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115584</wp:posOffset>
          </wp:positionV>
          <wp:extent cx="597535" cy="636270"/>
          <wp:effectExtent b="0" l="0" r="0" t="0"/>
          <wp:wrapSquare wrapText="bothSides" distB="0" distT="0" distL="114300" distR="114300"/>
          <wp:docPr descr="Image1" id="1042" name="image2.jpg"/>
          <a:graphic>
            <a:graphicData uri="http://schemas.openxmlformats.org/drawingml/2006/picture">
              <pic:pic>
                <pic:nvPicPr>
                  <pic:cNvPr descr="Image1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53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4287.0" w:type="dxa"/>
      <w:jc w:val="left"/>
      <w:tblInd w:w="0.0" w:type="dxa"/>
      <w:tblLayout w:type="fixed"/>
      <w:tblLook w:val="0000"/>
    </w:tblPr>
    <w:tblGrid>
      <w:gridCol w:w="1465"/>
      <w:gridCol w:w="12822"/>
      <w:tblGridChange w:id="0">
        <w:tblGrid>
          <w:gridCol w:w="1465"/>
          <w:gridCol w:w="12822"/>
        </w:tblGrid>
      </w:tblGridChange>
    </w:tblGrid>
    <w:tr>
      <w:trPr>
        <w:cantSplit w:val="0"/>
        <w:trHeight w:val="555" w:hRule="atLeast"/>
        <w:tblHeader w:val="0"/>
      </w:trPr>
      <w:tc>
        <w:tcPr>
          <w:vMerge w:val="restart"/>
          <w:tcBorders>
            <w:bottom w:color="808080" w:space="0" w:sz="4" w:val="single"/>
          </w:tcBorders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-2" w:firstLine="0"/>
            <w:rPr>
              <w:color w:val="000000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808080" w:space="0" w:sz="4" w:val="single"/>
          </w:tcBorders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right" w:pos="8930"/>
            </w:tabs>
            <w:spacing w:line="240" w:lineRule="auto"/>
            <w:ind w:left="2" w:hanging="4"/>
            <w:jc w:val="center"/>
            <w:rPr>
              <w:rFonts w:ascii="Pacifico" w:cs="Pacifico" w:eastAsia="Pacifico" w:hAnsi="Pacifico"/>
              <w:color w:val="808080"/>
              <w:sz w:val="40"/>
              <w:szCs w:val="40"/>
            </w:rPr>
          </w:pPr>
          <w:r w:rsidDel="00000000" w:rsidR="00000000" w:rsidRPr="00000000">
            <w:rPr>
              <w:rFonts w:ascii="Pacifico" w:cs="Pacifico" w:eastAsia="Pacifico" w:hAnsi="Pacifico"/>
              <w:b w:val="1"/>
              <w:color w:val="808080"/>
              <w:sz w:val="36"/>
              <w:szCs w:val="36"/>
              <w:rtl w:val="0"/>
            </w:rPr>
            <w:t xml:space="preserve">                                                                      </w:t>
          </w:r>
          <w:r w:rsidDel="00000000" w:rsidR="00000000" w:rsidRPr="00000000">
            <w:rPr>
              <w:rFonts w:ascii="Pacifico" w:cs="Pacifico" w:eastAsia="Pacifico" w:hAnsi="Pacifico"/>
              <w:b w:val="1"/>
              <w:color w:val="808080"/>
              <w:sz w:val="40"/>
              <w:szCs w:val="40"/>
              <w:rtl w:val="0"/>
            </w:rPr>
            <w:t xml:space="preserve">asociación </w:t>
          </w:r>
          <w:r w:rsidDel="00000000" w:rsidR="00000000" w:rsidRPr="00000000">
            <w:rPr>
              <w:rFonts w:ascii="Pacifico" w:cs="Pacifico" w:eastAsia="Pacifico" w:hAnsi="Pacifico"/>
              <w:b w:val="1"/>
              <w:color w:val="000066"/>
              <w:sz w:val="40"/>
              <w:szCs w:val="40"/>
              <w:rtl w:val="0"/>
            </w:rPr>
            <w:t xml:space="preserve">amiticia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57" w:hRule="atLeast"/>
        <w:tblHeader w:val="0"/>
      </w:trPr>
      <w:tc>
        <w:tcPr>
          <w:vMerge w:val="continue"/>
          <w:tcBorders>
            <w:bottom w:color="808080" w:space="0" w:sz="4" w:val="single"/>
          </w:tcBorders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Pacifico" w:cs="Pacifico" w:eastAsia="Pacifico" w:hAnsi="Pacifico"/>
              <w:color w:val="808080"/>
              <w:sz w:val="40"/>
              <w:szCs w:val="4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808080" w:space="0" w:sz="4" w:val="single"/>
          </w:tcBorders>
          <w:vAlign w:val="center"/>
        </w:tcPr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right" w:pos="9355"/>
            </w:tabs>
            <w:spacing w:line="240" w:lineRule="auto"/>
            <w:ind w:left="1" w:right="-2906" w:hanging="3"/>
            <w:rPr>
              <w:rFonts w:ascii="Pacifico" w:cs="Pacifico" w:eastAsia="Pacifico" w:hAnsi="Pacifico"/>
              <w:color w:val="0066ff"/>
              <w:sz w:val="24"/>
              <w:szCs w:val="24"/>
            </w:rPr>
          </w:pPr>
          <w:r w:rsidDel="00000000" w:rsidR="00000000" w:rsidRPr="00000000">
            <w:rPr>
              <w:rFonts w:ascii="Pacifico" w:cs="Pacifico" w:eastAsia="Pacifico" w:hAnsi="Pacifico"/>
              <w:color w:val="0066ff"/>
              <w:sz w:val="32"/>
              <w:szCs w:val="32"/>
              <w:rtl w:val="0"/>
            </w:rPr>
            <w:t xml:space="preserve">                                                                                                   </w:t>
          </w:r>
          <w:r w:rsidDel="00000000" w:rsidR="00000000" w:rsidRPr="00000000">
            <w:rPr>
              <w:rFonts w:ascii="Pacifico" w:cs="Pacifico" w:eastAsia="Pacifico" w:hAnsi="Pacifico"/>
              <w:color w:val="0066ff"/>
              <w:sz w:val="24"/>
              <w:szCs w:val="24"/>
              <w:rtl w:val="0"/>
            </w:rPr>
            <w:t xml:space="preserve">red de servicios de atención a la dependencia</w:t>
          </w:r>
        </w:p>
      </w:tc>
    </w:tr>
  </w:tbl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</w:pPr>
    <w:rPr>
      <w:b w:val="1"/>
      <w:sz w:val="28"/>
      <w:u w:val="single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jc w:val="both"/>
      <w:outlineLvl w:val="2"/>
    </w:pPr>
    <w:rPr>
      <w:b w:val="1"/>
      <w:sz w:val="28"/>
      <w:u w:val="single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jc w:val="both"/>
      <w:outlineLvl w:val="3"/>
    </w:pPr>
    <w:rPr>
      <w:b w:val="1"/>
      <w:sz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jc w:val="both"/>
      <w:outlineLvl w:val="4"/>
    </w:pPr>
    <w:rPr>
      <w:b w:val="1"/>
      <w:sz w:val="24"/>
      <w:u w:val="single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outlineLvl w:val="5"/>
    </w:pPr>
    <w:rPr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rFonts w:ascii="Arial" w:hAnsi="Arial"/>
      <w:b w:val="1"/>
      <w:sz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360"/>
      <w:jc w:val="both"/>
    </w:pPr>
    <w:rPr>
      <w:rFonts w:ascii="Arial" w:cs="Arial" w:hAnsi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cs="Arial" w:hAnsi="Arial"/>
      <w:sz w:val="22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cs="Cambria" w:eastAsia="Calibri" w:hAnsi="Cambria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sz w:val="24"/>
      <w:szCs w:val="24"/>
    </w:rPr>
  </w:style>
  <w:style w:type="character" w:styleId="EncabezadoCar" w:customStyle="1">
    <w:name w:val="Encabezado Car"/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Fr+ccORiyPvEwWlo+KNZsrOxg==">AMUW2mXJ6uOSSYbEXOewC2DLIvLxLoeRVAd+BLTG7bbUpU7AzKfQESkqJYwwm8n+WhDi7LyIM3mr2taWk6AZKGiNkTejeZmiAbduBc1tdfLEZGU2vfBarN8=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2021-11-22T14:11:00Z</dcterms:created>
  <dc:creator>AENA</dc:creator>
</cp:coreProperties>
</file>